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2"/>
        <w:tblpPr w:leftFromText="180" w:rightFromText="180" w:vertAnchor="text" w:horzAnchor="margin" w:tblpY="107"/>
        <w:tblW w:w="15559" w:type="dxa"/>
        <w:tblBorders>
          <w:top w:val="single" w:sz="48" w:space="0" w:color="548DD4" w:themeColor="text2" w:themeTint="99"/>
          <w:left w:val="single" w:sz="48" w:space="0" w:color="548DD4" w:themeColor="text2" w:themeTint="99"/>
          <w:bottom w:val="single" w:sz="48" w:space="0" w:color="548DD4" w:themeColor="text2" w:themeTint="99"/>
          <w:right w:val="single" w:sz="48" w:space="0" w:color="548DD4" w:themeColor="text2" w:themeTint="99"/>
          <w:insideH w:val="single" w:sz="6" w:space="0" w:color="548DD4" w:themeColor="text2" w:themeTint="99"/>
          <w:insideV w:val="single" w:sz="6" w:space="0" w:color="548DD4" w:themeColor="text2" w:themeTint="99"/>
        </w:tblBorders>
        <w:tblLayout w:type="fixed"/>
        <w:tblLook w:val="04A0" w:firstRow="1" w:lastRow="0" w:firstColumn="1" w:lastColumn="0" w:noHBand="0" w:noVBand="1"/>
      </w:tblPr>
      <w:tblGrid>
        <w:gridCol w:w="3794"/>
        <w:gridCol w:w="4819"/>
        <w:gridCol w:w="6946"/>
      </w:tblGrid>
      <w:tr w:rsidR="00E8170D" w:rsidRPr="009570EF" w:rsidTr="00B24FD6">
        <w:trPr>
          <w:trHeight w:val="301"/>
        </w:trPr>
        <w:tc>
          <w:tcPr>
            <w:tcW w:w="3794" w:type="dxa"/>
            <w:vMerge w:val="restart"/>
            <w:tcBorders>
              <w:top w:val="single" w:sz="18" w:space="0" w:color="548DD4" w:themeColor="text2" w:themeTint="99"/>
              <w:left w:val="single" w:sz="18" w:space="0" w:color="548DD4" w:themeColor="text2" w:themeTint="99"/>
              <w:right w:val="single" w:sz="12" w:space="0" w:color="548DD4" w:themeColor="text2" w:themeTint="99"/>
            </w:tcBorders>
            <w:shd w:val="clear" w:color="auto" w:fill="D6E3BC" w:themeFill="accent3" w:themeFillTint="66"/>
          </w:tcPr>
          <w:p w:rsidR="00E8170D" w:rsidRDefault="00E8170D" w:rsidP="009F624E">
            <w:pPr>
              <w:tabs>
                <w:tab w:val="center" w:pos="4320"/>
                <w:tab w:val="right" w:pos="8640"/>
              </w:tabs>
              <w:jc w:val="center"/>
              <w:textAlignment w:val="baseline"/>
              <w:rPr>
                <w:rFonts w:ascii="Arial" w:hAnsi="Arial" w:cs="Arial"/>
                <w:b/>
                <w:sz w:val="18"/>
                <w:szCs w:val="18"/>
                <w:lang w:eastAsia="en-US"/>
              </w:rPr>
            </w:pPr>
          </w:p>
          <w:p w:rsidR="00E8170D" w:rsidRDefault="00E8170D" w:rsidP="009F624E">
            <w:pPr>
              <w:tabs>
                <w:tab w:val="center" w:pos="4320"/>
                <w:tab w:val="right" w:pos="8640"/>
              </w:tabs>
              <w:jc w:val="center"/>
              <w:textAlignment w:val="baseline"/>
              <w:rPr>
                <w:rFonts w:ascii="Arial" w:hAnsi="Arial" w:cs="Arial"/>
                <w:b/>
                <w:sz w:val="18"/>
                <w:szCs w:val="18"/>
                <w:lang w:eastAsia="en-US"/>
              </w:rPr>
            </w:pPr>
            <w:r w:rsidRPr="004071FE">
              <w:rPr>
                <w:rFonts w:ascii="Arial" w:hAnsi="Arial" w:cs="Arial"/>
                <w:b/>
                <w:noProof/>
                <w:sz w:val="18"/>
                <w:szCs w:val="18"/>
              </w:rPr>
              <w:drawing>
                <wp:inline distT="0" distB="0" distL="0" distR="0">
                  <wp:extent cx="1095375" cy="674077"/>
                  <wp:effectExtent l="19050" t="0" r="9525" b="0"/>
                  <wp:docPr id="24"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099388" cy="676546"/>
                          </a:xfrm>
                          <a:prstGeom prst="rect">
                            <a:avLst/>
                          </a:prstGeom>
                          <a:noFill/>
                          <a:ln w="9525">
                            <a:noFill/>
                            <a:miter lim="800000"/>
                            <a:headEnd/>
                            <a:tailEnd/>
                          </a:ln>
                        </pic:spPr>
                      </pic:pic>
                    </a:graphicData>
                  </a:graphic>
                </wp:inline>
              </w:drawing>
            </w:r>
          </w:p>
          <w:p w:rsidR="00546887" w:rsidRDefault="00546887" w:rsidP="009F624E">
            <w:pPr>
              <w:tabs>
                <w:tab w:val="center" w:pos="4320"/>
                <w:tab w:val="right" w:pos="8640"/>
              </w:tabs>
              <w:spacing w:line="276" w:lineRule="auto"/>
              <w:jc w:val="center"/>
              <w:textAlignment w:val="baseline"/>
              <w:rPr>
                <w:rFonts w:ascii="Verdana" w:hAnsi="Verdana" w:cs="Arial"/>
                <w:b/>
                <w:sz w:val="20"/>
                <w:szCs w:val="20"/>
                <w:lang w:eastAsia="en-US"/>
              </w:rPr>
            </w:pPr>
          </w:p>
          <w:p w:rsidR="00E8170D" w:rsidRDefault="00E8170D" w:rsidP="009F624E">
            <w:pPr>
              <w:tabs>
                <w:tab w:val="center" w:pos="4320"/>
                <w:tab w:val="right" w:pos="8640"/>
              </w:tabs>
              <w:spacing w:line="276" w:lineRule="auto"/>
              <w:jc w:val="center"/>
              <w:textAlignment w:val="baseline"/>
              <w:rPr>
                <w:rFonts w:ascii="Verdana" w:hAnsi="Verdana" w:cs="Arial"/>
                <w:b/>
                <w:sz w:val="20"/>
                <w:szCs w:val="20"/>
                <w:lang w:eastAsia="en-US"/>
              </w:rPr>
            </w:pPr>
            <w:r w:rsidRPr="003047FA">
              <w:rPr>
                <w:rFonts w:ascii="Verdana" w:hAnsi="Verdana" w:cs="Arial"/>
                <w:b/>
                <w:sz w:val="20"/>
                <w:szCs w:val="20"/>
                <w:lang w:eastAsia="en-US"/>
              </w:rPr>
              <w:t>SLUŽBA ZA CIVILNU ZAŠTITU I VATROGASTVO</w:t>
            </w:r>
          </w:p>
          <w:p w:rsidR="00E8170D" w:rsidRDefault="00E8170D" w:rsidP="00B24FD6">
            <w:pPr>
              <w:tabs>
                <w:tab w:val="center" w:pos="4320"/>
                <w:tab w:val="right" w:pos="8640"/>
              </w:tabs>
              <w:jc w:val="center"/>
              <w:textAlignment w:val="baseline"/>
              <w:rPr>
                <w:rFonts w:ascii="Verdana" w:hAnsi="Verdana" w:cs="Arial"/>
                <w:b/>
                <w:color w:val="FF0000"/>
                <w:lang w:eastAsia="en-US"/>
              </w:rPr>
            </w:pPr>
            <w:r w:rsidRPr="000C1B2E">
              <w:rPr>
                <w:rFonts w:ascii="Verdana" w:hAnsi="Verdana" w:cs="Arial"/>
                <w:b/>
                <w:color w:val="FF0000"/>
                <w:lang w:eastAsia="en-US"/>
              </w:rPr>
              <w:t>036 334-294</w:t>
            </w:r>
          </w:p>
          <w:p w:rsidR="00E8170D" w:rsidRPr="006A770B" w:rsidRDefault="00E8170D" w:rsidP="00B24FD6">
            <w:pPr>
              <w:tabs>
                <w:tab w:val="center" w:pos="4320"/>
                <w:tab w:val="right" w:pos="8640"/>
              </w:tabs>
              <w:jc w:val="center"/>
              <w:textAlignment w:val="baseline"/>
              <w:rPr>
                <w:rFonts w:ascii="Verdana" w:hAnsi="Verdana"/>
                <w:b/>
                <w:sz w:val="20"/>
                <w:szCs w:val="20"/>
              </w:rPr>
            </w:pPr>
            <w:r w:rsidRPr="006A770B">
              <w:rPr>
                <w:rFonts w:ascii="Verdana" w:hAnsi="Verdana"/>
                <w:b/>
                <w:sz w:val="18"/>
                <w:szCs w:val="18"/>
              </w:rPr>
              <w:t>Odsjek za CZ -</w:t>
            </w:r>
            <w:r w:rsidRPr="006A770B">
              <w:rPr>
                <w:rFonts w:ascii="Verdana" w:hAnsi="Verdana"/>
                <w:sz w:val="20"/>
                <w:szCs w:val="20"/>
              </w:rPr>
              <w:t>036</w:t>
            </w:r>
            <w:r>
              <w:rPr>
                <w:rFonts w:ascii="Verdana" w:hAnsi="Verdana"/>
                <w:sz w:val="20"/>
                <w:szCs w:val="20"/>
              </w:rPr>
              <w:t>/</w:t>
            </w:r>
            <w:r w:rsidRPr="006A770B">
              <w:rPr>
                <w:rFonts w:ascii="Verdana" w:hAnsi="Verdana"/>
                <w:sz w:val="20"/>
                <w:szCs w:val="20"/>
              </w:rPr>
              <w:t>570 014</w:t>
            </w:r>
          </w:p>
          <w:p w:rsidR="00E8170D" w:rsidRPr="006A770B" w:rsidRDefault="00E8170D" w:rsidP="00B24FD6">
            <w:pPr>
              <w:tabs>
                <w:tab w:val="center" w:pos="4320"/>
                <w:tab w:val="right" w:pos="8640"/>
              </w:tabs>
              <w:jc w:val="center"/>
              <w:textAlignment w:val="baseline"/>
              <w:rPr>
                <w:rFonts w:ascii="Verdana" w:hAnsi="Verdana"/>
                <w:b/>
                <w:sz w:val="20"/>
                <w:szCs w:val="20"/>
              </w:rPr>
            </w:pPr>
            <w:r w:rsidRPr="006A770B">
              <w:rPr>
                <w:rFonts w:ascii="Verdana" w:hAnsi="Verdana"/>
                <w:b/>
                <w:sz w:val="18"/>
                <w:szCs w:val="18"/>
              </w:rPr>
              <w:t>Odsjek za ZOP-a</w:t>
            </w:r>
            <w:r w:rsidRPr="006A770B">
              <w:rPr>
                <w:rFonts w:ascii="Verdana" w:hAnsi="Verdana"/>
                <w:b/>
                <w:sz w:val="20"/>
                <w:szCs w:val="20"/>
              </w:rPr>
              <w:t>-</w:t>
            </w:r>
            <w:r>
              <w:rPr>
                <w:rFonts w:ascii="Verdana" w:hAnsi="Verdana"/>
                <w:sz w:val="20"/>
                <w:szCs w:val="20"/>
              </w:rPr>
              <w:t xml:space="preserve">036/334 </w:t>
            </w:r>
            <w:r w:rsidRPr="006A770B">
              <w:rPr>
                <w:rFonts w:ascii="Verdana" w:hAnsi="Verdana"/>
                <w:sz w:val="20"/>
                <w:szCs w:val="20"/>
              </w:rPr>
              <w:t>294</w:t>
            </w:r>
          </w:p>
          <w:p w:rsidR="00E8170D" w:rsidRDefault="00E8170D" w:rsidP="00B24FD6">
            <w:pPr>
              <w:tabs>
                <w:tab w:val="center" w:pos="4320"/>
                <w:tab w:val="right" w:pos="8640"/>
              </w:tabs>
              <w:jc w:val="center"/>
              <w:textAlignment w:val="baseline"/>
              <w:rPr>
                <w:rFonts w:ascii="Verdana" w:hAnsi="Verdana"/>
                <w:sz w:val="20"/>
                <w:szCs w:val="20"/>
              </w:rPr>
            </w:pPr>
            <w:r w:rsidRPr="006A770B">
              <w:rPr>
                <w:rFonts w:ascii="Verdana" w:hAnsi="Verdana"/>
                <w:b/>
                <w:sz w:val="18"/>
                <w:szCs w:val="18"/>
              </w:rPr>
              <w:t>PVP/J-</w:t>
            </w:r>
            <w:r w:rsidRPr="006A770B">
              <w:rPr>
                <w:rFonts w:ascii="Verdana" w:hAnsi="Verdana"/>
                <w:sz w:val="20"/>
                <w:szCs w:val="20"/>
              </w:rPr>
              <w:t>036</w:t>
            </w:r>
            <w:r>
              <w:rPr>
                <w:rFonts w:ascii="Verdana" w:hAnsi="Verdana"/>
                <w:sz w:val="20"/>
                <w:szCs w:val="20"/>
              </w:rPr>
              <w:t>/</w:t>
            </w:r>
            <w:r w:rsidRPr="006A770B">
              <w:rPr>
                <w:rFonts w:ascii="Verdana" w:hAnsi="Verdana"/>
                <w:sz w:val="20"/>
                <w:szCs w:val="20"/>
              </w:rPr>
              <w:t xml:space="preserve"> 334 298;</w:t>
            </w:r>
          </w:p>
          <w:p w:rsidR="00E8170D" w:rsidRDefault="00E8170D" w:rsidP="00B24FD6">
            <w:pPr>
              <w:tabs>
                <w:tab w:val="center" w:pos="4320"/>
                <w:tab w:val="right" w:pos="8640"/>
              </w:tabs>
              <w:jc w:val="center"/>
              <w:textAlignment w:val="baseline"/>
              <w:rPr>
                <w:rFonts w:ascii="Verdana" w:hAnsi="Verdana"/>
                <w:sz w:val="20"/>
                <w:szCs w:val="20"/>
              </w:rPr>
            </w:pPr>
            <w:r w:rsidRPr="006A770B">
              <w:rPr>
                <w:rFonts w:ascii="Verdana" w:hAnsi="Verdana"/>
                <w:sz w:val="20"/>
                <w:szCs w:val="20"/>
              </w:rPr>
              <w:t>036</w:t>
            </w:r>
            <w:r>
              <w:rPr>
                <w:rFonts w:ascii="Verdana" w:hAnsi="Verdana"/>
                <w:sz w:val="20"/>
                <w:szCs w:val="20"/>
              </w:rPr>
              <w:t>/</w:t>
            </w:r>
            <w:r w:rsidRPr="006A770B">
              <w:rPr>
                <w:rFonts w:ascii="Verdana" w:hAnsi="Verdana"/>
                <w:sz w:val="20"/>
                <w:szCs w:val="20"/>
              </w:rPr>
              <w:t xml:space="preserve"> 570 044</w:t>
            </w:r>
          </w:p>
          <w:p w:rsidR="00546887" w:rsidRPr="000C1B2E" w:rsidRDefault="00546887" w:rsidP="009F624E">
            <w:pPr>
              <w:tabs>
                <w:tab w:val="center" w:pos="4320"/>
                <w:tab w:val="right" w:pos="8640"/>
              </w:tabs>
              <w:spacing w:line="276" w:lineRule="auto"/>
              <w:jc w:val="center"/>
              <w:textAlignment w:val="baseline"/>
              <w:rPr>
                <w:rFonts w:ascii="Verdana" w:hAnsi="Verdana" w:cs="Arial"/>
                <w:b/>
                <w:color w:val="FF0000"/>
                <w:lang w:eastAsia="en-US"/>
              </w:rPr>
            </w:pPr>
            <w:r w:rsidRPr="00546887">
              <w:rPr>
                <w:rFonts w:ascii="Verdana" w:hAnsi="Verdana"/>
                <w:noProof/>
                <w:sz w:val="20"/>
                <w:szCs w:val="20"/>
              </w:rPr>
              <w:drawing>
                <wp:inline distT="0" distB="0" distL="0" distR="0">
                  <wp:extent cx="2257425" cy="1103589"/>
                  <wp:effectExtent l="0" t="0" r="9525" b="0"/>
                  <wp:docPr id="4"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265080" cy="1107331"/>
                          </a:xfrm>
                          <a:prstGeom prst="rect">
                            <a:avLst/>
                          </a:prstGeom>
                          <a:ln>
                            <a:noFill/>
                          </a:ln>
                          <a:effectLst>
                            <a:softEdge rad="112500"/>
                          </a:effectLst>
                        </pic:spPr>
                      </pic:pic>
                    </a:graphicData>
                  </a:graphic>
                </wp:inline>
              </w:drawing>
            </w:r>
          </w:p>
        </w:tc>
        <w:tc>
          <w:tcPr>
            <w:tcW w:w="4819" w:type="dxa"/>
            <w:tcBorders>
              <w:top w:val="single" w:sz="18" w:space="0" w:color="548DD4" w:themeColor="text2" w:themeTint="99"/>
              <w:left w:val="single" w:sz="12" w:space="0" w:color="548DD4" w:themeColor="text2" w:themeTint="99"/>
              <w:bottom w:val="single" w:sz="18" w:space="0" w:color="548DD4" w:themeColor="text2" w:themeTint="99"/>
            </w:tcBorders>
            <w:shd w:val="clear" w:color="auto" w:fill="EEECE1" w:themeFill="background2"/>
          </w:tcPr>
          <w:p w:rsidR="00E8170D" w:rsidRDefault="00E8170D" w:rsidP="00E8170D">
            <w:pPr>
              <w:jc w:val="center"/>
              <w:rPr>
                <w:rFonts w:ascii="Verdana" w:hAnsi="Verdana" w:cs="Arial"/>
                <w:b/>
                <w:noProof/>
              </w:rPr>
            </w:pPr>
            <w:r>
              <w:rPr>
                <w:rFonts w:ascii="Verdana" w:hAnsi="Verdana" w:cs="Arial"/>
                <w:b/>
                <w:noProof/>
              </w:rPr>
              <w:t>KAZNENA ODGOVORNOST</w:t>
            </w:r>
          </w:p>
        </w:tc>
        <w:tc>
          <w:tcPr>
            <w:tcW w:w="6946" w:type="dxa"/>
            <w:tcBorders>
              <w:top w:val="single" w:sz="18" w:space="0" w:color="548DD4" w:themeColor="text2" w:themeTint="99"/>
              <w:left w:val="single" w:sz="12" w:space="0" w:color="548DD4" w:themeColor="text2" w:themeTint="99"/>
              <w:bottom w:val="single" w:sz="18" w:space="0" w:color="548DD4" w:themeColor="text2" w:themeTint="99"/>
              <w:right w:val="single" w:sz="18" w:space="0" w:color="548DD4" w:themeColor="text2" w:themeTint="99"/>
            </w:tcBorders>
            <w:shd w:val="clear" w:color="auto" w:fill="EAF1DD" w:themeFill="accent3" w:themeFillTint="33"/>
          </w:tcPr>
          <w:p w:rsidR="00E8170D" w:rsidRPr="003047FA" w:rsidRDefault="00E8170D" w:rsidP="009F624E">
            <w:pPr>
              <w:jc w:val="center"/>
              <w:rPr>
                <w:rFonts w:ascii="Verdana" w:hAnsi="Verdana" w:cs="Arial"/>
                <w:b/>
                <w:noProof/>
              </w:rPr>
            </w:pPr>
            <w:r>
              <w:rPr>
                <w:rFonts w:ascii="Verdana" w:hAnsi="Verdana" w:cs="Arial"/>
                <w:b/>
                <w:noProof/>
              </w:rPr>
              <w:t>PREVENTIVNE MJERE</w:t>
            </w:r>
          </w:p>
        </w:tc>
      </w:tr>
      <w:tr w:rsidR="00E8170D" w:rsidRPr="009570EF" w:rsidTr="00B24FD6">
        <w:trPr>
          <w:trHeight w:val="4851"/>
        </w:trPr>
        <w:tc>
          <w:tcPr>
            <w:tcW w:w="3794" w:type="dxa"/>
            <w:vMerge/>
            <w:tcBorders>
              <w:left w:val="single" w:sz="18" w:space="0" w:color="548DD4" w:themeColor="text2" w:themeTint="99"/>
              <w:bottom w:val="single" w:sz="6" w:space="0" w:color="548DD4" w:themeColor="text2" w:themeTint="99"/>
              <w:right w:val="single" w:sz="12" w:space="0" w:color="548DD4" w:themeColor="text2" w:themeTint="99"/>
            </w:tcBorders>
            <w:shd w:val="clear" w:color="auto" w:fill="D6E3BC" w:themeFill="accent3" w:themeFillTint="66"/>
          </w:tcPr>
          <w:p w:rsidR="00E8170D" w:rsidRPr="009570EF" w:rsidRDefault="00E8170D" w:rsidP="00E8170D">
            <w:pPr>
              <w:tabs>
                <w:tab w:val="center" w:pos="4320"/>
                <w:tab w:val="right" w:pos="8640"/>
              </w:tabs>
              <w:textAlignment w:val="baseline"/>
              <w:rPr>
                <w:rFonts w:ascii="Arial" w:hAnsi="Arial" w:cs="Arial"/>
                <w:b/>
                <w:sz w:val="18"/>
                <w:szCs w:val="18"/>
                <w:lang w:eastAsia="en-US"/>
              </w:rPr>
            </w:pPr>
          </w:p>
        </w:tc>
        <w:tc>
          <w:tcPr>
            <w:tcW w:w="4819" w:type="dxa"/>
            <w:tcBorders>
              <w:top w:val="single" w:sz="18" w:space="0" w:color="548DD4" w:themeColor="text2" w:themeTint="99"/>
              <w:left w:val="single" w:sz="12" w:space="0" w:color="548DD4" w:themeColor="text2" w:themeTint="99"/>
            </w:tcBorders>
            <w:shd w:val="clear" w:color="auto" w:fill="FFFFFF" w:themeFill="background1"/>
          </w:tcPr>
          <w:p w:rsidR="00546887" w:rsidRPr="00433B84" w:rsidRDefault="00E8170D" w:rsidP="00433B84">
            <w:pPr>
              <w:jc w:val="both"/>
              <w:rPr>
                <w:rFonts w:ascii="Arial" w:hAnsi="Arial" w:cs="Arial"/>
                <w:sz w:val="18"/>
                <w:szCs w:val="18"/>
                <w:shd w:val="clear" w:color="auto" w:fill="FFFFFF"/>
              </w:rPr>
            </w:pPr>
            <w:r w:rsidRPr="00433B84">
              <w:rPr>
                <w:rFonts w:ascii="Arial" w:hAnsi="Arial" w:cs="Arial"/>
                <w:sz w:val="18"/>
                <w:szCs w:val="18"/>
                <w:shd w:val="clear" w:color="auto" w:fill="FFFFFF"/>
              </w:rPr>
              <w:t>Zbog nesavjesnog i neodgovornog spaljivanja</w:t>
            </w:r>
            <w:r w:rsidRPr="00433B84">
              <w:rPr>
                <w:rFonts w:ascii="Arial" w:hAnsi="Arial" w:cs="Arial"/>
                <w:sz w:val="18"/>
                <w:szCs w:val="18"/>
              </w:rPr>
              <w:t xml:space="preserve">  suhe trave, korova, rastinja, biljnih otpadaka</w:t>
            </w:r>
            <w:r w:rsidRPr="00433B84">
              <w:rPr>
                <w:rFonts w:ascii="Arial" w:hAnsi="Arial" w:cs="Arial"/>
                <w:sz w:val="18"/>
                <w:szCs w:val="18"/>
                <w:shd w:val="clear" w:color="auto" w:fill="FFFFFF"/>
              </w:rPr>
              <w:t xml:space="preserve"> i drugih tvari mogu biti ugroženi životi ljudi i nastati velike materijalne štete.</w:t>
            </w:r>
            <w:r w:rsidR="0030657D" w:rsidRPr="00433B84">
              <w:rPr>
                <w:rFonts w:ascii="Arial" w:hAnsi="Arial" w:cs="Arial"/>
                <w:sz w:val="18"/>
                <w:szCs w:val="18"/>
                <w:shd w:val="clear" w:color="auto" w:fill="FFFFFF"/>
              </w:rPr>
              <w:t xml:space="preserve"> </w:t>
            </w:r>
            <w:r w:rsidRPr="00433B84">
              <w:rPr>
                <w:rFonts w:ascii="Arial" w:hAnsi="Arial" w:cs="Arial"/>
                <w:sz w:val="18"/>
                <w:szCs w:val="18"/>
                <w:shd w:val="clear" w:color="auto" w:fill="FFFFFF"/>
              </w:rPr>
              <w:t>P</w:t>
            </w:r>
            <w:r w:rsidR="0030657D" w:rsidRPr="00433B84">
              <w:rPr>
                <w:rFonts w:ascii="Arial" w:hAnsi="Arial" w:cs="Arial"/>
                <w:sz w:val="18"/>
                <w:szCs w:val="18"/>
              </w:rPr>
              <w:t xml:space="preserve">rema odredbama članka 317. </w:t>
            </w:r>
            <w:r w:rsidR="00546887" w:rsidRPr="00433B84">
              <w:rPr>
                <w:rFonts w:ascii="Arial" w:hAnsi="Arial" w:cs="Arial"/>
                <w:sz w:val="18"/>
                <w:szCs w:val="18"/>
              </w:rPr>
              <w:t>Krivičnog zakona Federacije BiH , a koji glasi:</w:t>
            </w:r>
          </w:p>
          <w:p w:rsidR="00546887" w:rsidRPr="00433B84" w:rsidRDefault="0030657D" w:rsidP="00433B84">
            <w:pPr>
              <w:numPr>
                <w:ilvl w:val="0"/>
                <w:numId w:val="4"/>
              </w:numPr>
              <w:ind w:left="0"/>
              <w:textAlignment w:val="baseline"/>
              <w:rPr>
                <w:rFonts w:ascii="Arial" w:hAnsi="Arial" w:cs="Arial"/>
                <w:sz w:val="18"/>
                <w:szCs w:val="18"/>
              </w:rPr>
            </w:pPr>
            <w:r w:rsidRPr="00433B84">
              <w:rPr>
                <w:rFonts w:ascii="Arial" w:hAnsi="Arial" w:cs="Arial"/>
                <w:b/>
                <w:sz w:val="18"/>
                <w:szCs w:val="18"/>
              </w:rPr>
              <w:t>1)</w:t>
            </w:r>
            <w:r w:rsidRPr="00433B84">
              <w:rPr>
                <w:rFonts w:ascii="Arial" w:hAnsi="Arial" w:cs="Arial"/>
                <w:sz w:val="18"/>
                <w:szCs w:val="18"/>
              </w:rPr>
              <w:t>Tk</w:t>
            </w:r>
            <w:r w:rsidR="00546887" w:rsidRPr="00433B84">
              <w:rPr>
                <w:rFonts w:ascii="Arial" w:hAnsi="Arial" w:cs="Arial"/>
                <w:sz w:val="18"/>
                <w:szCs w:val="18"/>
              </w:rPr>
              <w:t xml:space="preserve">o izazove šumski požar zbog kojeg nastupi šteta velikih razmjera, ili istovremeno izazove više šumskih požara, kazniti će se kaznom </w:t>
            </w:r>
            <w:r w:rsidR="00546887" w:rsidRPr="00433B84">
              <w:rPr>
                <w:rFonts w:ascii="Arial" w:hAnsi="Arial" w:cs="Arial"/>
                <w:b/>
                <w:sz w:val="18"/>
                <w:szCs w:val="18"/>
              </w:rPr>
              <w:t>zatvora od 1 do 8 godina</w:t>
            </w:r>
            <w:r w:rsidR="00546887" w:rsidRPr="00433B84">
              <w:rPr>
                <w:rFonts w:ascii="Arial" w:hAnsi="Arial" w:cs="Arial"/>
                <w:sz w:val="18"/>
                <w:szCs w:val="18"/>
              </w:rPr>
              <w:t>,</w:t>
            </w:r>
          </w:p>
          <w:p w:rsidR="00546887" w:rsidRPr="00433B84" w:rsidRDefault="0030657D" w:rsidP="00433B84">
            <w:pPr>
              <w:numPr>
                <w:ilvl w:val="0"/>
                <w:numId w:val="4"/>
              </w:numPr>
              <w:ind w:left="0"/>
              <w:textAlignment w:val="baseline"/>
              <w:rPr>
                <w:rFonts w:ascii="Arial" w:hAnsi="Arial" w:cs="Arial"/>
                <w:b/>
                <w:sz w:val="18"/>
                <w:szCs w:val="18"/>
              </w:rPr>
            </w:pPr>
            <w:r w:rsidRPr="00433B84">
              <w:rPr>
                <w:rFonts w:ascii="Arial" w:hAnsi="Arial" w:cs="Arial"/>
                <w:b/>
                <w:sz w:val="18"/>
                <w:szCs w:val="18"/>
              </w:rPr>
              <w:t>2)</w:t>
            </w:r>
            <w:r w:rsidRPr="00433B84">
              <w:rPr>
                <w:rFonts w:ascii="Arial" w:hAnsi="Arial" w:cs="Arial"/>
                <w:sz w:val="18"/>
                <w:szCs w:val="18"/>
              </w:rPr>
              <w:t>Tk</w:t>
            </w:r>
            <w:r w:rsidR="00546887" w:rsidRPr="00433B84">
              <w:rPr>
                <w:rFonts w:ascii="Arial" w:hAnsi="Arial" w:cs="Arial"/>
                <w:sz w:val="18"/>
                <w:szCs w:val="18"/>
              </w:rPr>
              <w:t xml:space="preserve">o izazove požar u zaštićenoj šumi, nacionalnom parku, voćnjaku ili drugoj šumi posebne namjene ili u žitnom polju, kaznit će se kaznom </w:t>
            </w:r>
            <w:r w:rsidR="00546887" w:rsidRPr="00433B84">
              <w:rPr>
                <w:rFonts w:ascii="Arial" w:hAnsi="Arial" w:cs="Arial"/>
                <w:b/>
                <w:sz w:val="18"/>
                <w:szCs w:val="18"/>
              </w:rPr>
              <w:t>zatvora</w:t>
            </w:r>
            <w:r w:rsidR="00546887" w:rsidRPr="00433B84">
              <w:rPr>
                <w:rFonts w:ascii="Arial" w:hAnsi="Arial" w:cs="Arial"/>
                <w:sz w:val="18"/>
                <w:szCs w:val="18"/>
              </w:rPr>
              <w:t xml:space="preserve"> </w:t>
            </w:r>
            <w:r w:rsidR="00546887" w:rsidRPr="00433B84">
              <w:rPr>
                <w:rFonts w:ascii="Arial" w:hAnsi="Arial" w:cs="Arial"/>
                <w:b/>
                <w:sz w:val="18"/>
                <w:szCs w:val="18"/>
              </w:rPr>
              <w:t>od 2 do 12 godina,</w:t>
            </w:r>
          </w:p>
          <w:p w:rsidR="0030657D" w:rsidRPr="00433B84" w:rsidRDefault="0030657D" w:rsidP="00433B84">
            <w:pPr>
              <w:textAlignment w:val="baseline"/>
              <w:rPr>
                <w:rFonts w:ascii="Arial" w:hAnsi="Arial" w:cs="Arial"/>
                <w:b/>
                <w:sz w:val="18"/>
                <w:szCs w:val="18"/>
              </w:rPr>
            </w:pPr>
            <w:r w:rsidRPr="00433B84">
              <w:rPr>
                <w:rFonts w:ascii="Arial" w:hAnsi="Arial" w:cs="Arial"/>
                <w:b/>
                <w:sz w:val="18"/>
                <w:szCs w:val="18"/>
              </w:rPr>
              <w:t>3)</w:t>
            </w:r>
            <w:r w:rsidRPr="00433B84">
              <w:rPr>
                <w:rFonts w:ascii="Arial" w:hAnsi="Arial" w:cs="Arial"/>
                <w:sz w:val="18"/>
                <w:szCs w:val="18"/>
              </w:rPr>
              <w:t xml:space="preserve">Za krivično djelo iz stava 1. ovog člana učini iz nehata, kaznit će se </w:t>
            </w:r>
            <w:r w:rsidRPr="00433B84">
              <w:rPr>
                <w:rFonts w:ascii="Arial" w:hAnsi="Arial" w:cs="Arial"/>
                <w:b/>
                <w:sz w:val="18"/>
                <w:szCs w:val="18"/>
              </w:rPr>
              <w:t>novčanom kaznom ili kaznom zatvora do 2 godine,</w:t>
            </w:r>
          </w:p>
          <w:p w:rsidR="00E8170D" w:rsidRPr="00433B84" w:rsidRDefault="0030657D" w:rsidP="00433B84">
            <w:pPr>
              <w:textAlignment w:val="baseline"/>
              <w:rPr>
                <w:rFonts w:ascii="Arial" w:hAnsi="Arial" w:cs="Arial"/>
                <w:b/>
                <w:sz w:val="18"/>
                <w:szCs w:val="18"/>
              </w:rPr>
            </w:pPr>
            <w:r w:rsidRPr="00433B84">
              <w:rPr>
                <w:rFonts w:ascii="Arial" w:hAnsi="Arial" w:cs="Arial"/>
                <w:b/>
                <w:sz w:val="18"/>
                <w:szCs w:val="18"/>
              </w:rPr>
              <w:t>4)</w:t>
            </w:r>
            <w:r w:rsidRPr="00433B84">
              <w:rPr>
                <w:rFonts w:ascii="Arial" w:hAnsi="Arial" w:cs="Arial"/>
                <w:sz w:val="18"/>
                <w:szCs w:val="18"/>
              </w:rPr>
              <w:t xml:space="preserve">Za krivično djelo iz stava 2. ovog člana učini iz nehata, </w:t>
            </w:r>
            <w:r w:rsidRPr="00433B84">
              <w:rPr>
                <w:rFonts w:ascii="Arial" w:hAnsi="Arial" w:cs="Arial"/>
                <w:b/>
                <w:sz w:val="18"/>
                <w:szCs w:val="18"/>
              </w:rPr>
              <w:t>kaznit će se novčanom kaznom ili kaznom zatvora do 3 godine</w:t>
            </w:r>
          </w:p>
          <w:p w:rsidR="00433B84" w:rsidRPr="00433B84" w:rsidRDefault="00433B84" w:rsidP="00433B84">
            <w:pPr>
              <w:jc w:val="center"/>
              <w:textAlignment w:val="baseline"/>
              <w:rPr>
                <w:rFonts w:ascii="Arial" w:hAnsi="Arial" w:cs="Arial"/>
                <w:b/>
                <w:sz w:val="18"/>
                <w:szCs w:val="18"/>
              </w:rPr>
            </w:pPr>
            <w:r>
              <w:rPr>
                <w:rFonts w:ascii="Arial" w:hAnsi="Arial" w:cs="Arial"/>
                <w:b/>
                <w:noProof/>
                <w:sz w:val="18"/>
                <w:szCs w:val="18"/>
              </w:rPr>
              <w:drawing>
                <wp:inline distT="0" distB="0" distL="0" distR="0">
                  <wp:extent cx="2886075" cy="742950"/>
                  <wp:effectExtent l="19050" t="0" r="9525"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srcRect/>
                          <a:stretch>
                            <a:fillRect/>
                          </a:stretch>
                        </pic:blipFill>
                        <pic:spPr bwMode="auto">
                          <a:xfrm>
                            <a:off x="0" y="0"/>
                            <a:ext cx="2886075" cy="742950"/>
                          </a:xfrm>
                          <a:prstGeom prst="rect">
                            <a:avLst/>
                          </a:prstGeom>
                          <a:noFill/>
                          <a:ln w="9525">
                            <a:noFill/>
                            <a:miter lim="800000"/>
                            <a:headEnd/>
                            <a:tailEnd/>
                          </a:ln>
                        </pic:spPr>
                      </pic:pic>
                    </a:graphicData>
                  </a:graphic>
                </wp:inline>
              </w:drawing>
            </w:r>
          </w:p>
        </w:tc>
        <w:tc>
          <w:tcPr>
            <w:tcW w:w="6946" w:type="dxa"/>
            <w:vMerge w:val="restart"/>
            <w:tcBorders>
              <w:top w:val="single" w:sz="18" w:space="0" w:color="548DD4" w:themeColor="text2" w:themeTint="99"/>
              <w:left w:val="single" w:sz="12" w:space="0" w:color="548DD4" w:themeColor="text2" w:themeTint="99"/>
              <w:right w:val="single" w:sz="18" w:space="0" w:color="548DD4" w:themeColor="text2" w:themeTint="99"/>
            </w:tcBorders>
            <w:shd w:val="clear" w:color="auto" w:fill="D6E3BC" w:themeFill="accent3" w:themeFillTint="66"/>
          </w:tcPr>
          <w:p w:rsidR="00E8170D" w:rsidRPr="0014186A" w:rsidRDefault="00E8170D" w:rsidP="00E8170D">
            <w:pPr>
              <w:autoSpaceDE w:val="0"/>
              <w:autoSpaceDN w:val="0"/>
              <w:adjustRightInd w:val="0"/>
              <w:jc w:val="both"/>
              <w:rPr>
                <w:rFonts w:ascii="Arial" w:hAnsi="Arial" w:cs="Arial"/>
                <w:bCs/>
                <w:color w:val="FF0000"/>
                <w:sz w:val="20"/>
                <w:szCs w:val="20"/>
              </w:rPr>
            </w:pPr>
            <w:r w:rsidRPr="0014186A">
              <w:rPr>
                <w:rFonts w:ascii="Arial" w:hAnsi="Arial" w:cs="Arial"/>
                <w:bCs/>
                <w:color w:val="FF0000"/>
                <w:sz w:val="20"/>
                <w:szCs w:val="20"/>
              </w:rPr>
              <w:t>Članak 20. Pravilnika</w:t>
            </w:r>
            <w:r w:rsidRPr="0014186A">
              <w:rPr>
                <w:rFonts w:ascii="Arial" w:hAnsi="Arial" w:cs="Arial"/>
                <w:b/>
                <w:bCs/>
                <w:sz w:val="20"/>
                <w:szCs w:val="20"/>
              </w:rPr>
              <w:t xml:space="preserve"> </w:t>
            </w:r>
            <w:r w:rsidRPr="0014186A">
              <w:rPr>
                <w:rFonts w:ascii="Arial" w:hAnsi="Arial" w:cs="Arial"/>
                <w:bCs/>
                <w:color w:val="FF0000"/>
                <w:sz w:val="20"/>
                <w:szCs w:val="20"/>
              </w:rPr>
              <w:t xml:space="preserve">o sadržaju planova za zaštitu šuma od požara </w:t>
            </w:r>
            <w:r w:rsidRPr="0014186A">
              <w:rPr>
                <w:rFonts w:ascii="Arial" w:hAnsi="Arial" w:cs="Arial"/>
                <w:bCs/>
                <w:sz w:val="20"/>
                <w:szCs w:val="20"/>
              </w:rPr>
              <w:t xml:space="preserve">( „Službene novine FBiH broj 10/04“) propisuje da </w:t>
            </w:r>
            <w:r w:rsidRPr="0014186A">
              <w:rPr>
                <w:rFonts w:ascii="Arial" w:hAnsi="Arial" w:cs="Arial"/>
                <w:b/>
                <w:bCs/>
                <w:sz w:val="20"/>
                <w:szCs w:val="20"/>
              </w:rPr>
              <w:t xml:space="preserve"> </w:t>
            </w:r>
            <w:r w:rsidRPr="0014186A">
              <w:rPr>
                <w:rFonts w:ascii="Arial" w:hAnsi="Arial" w:cs="Arial"/>
                <w:sz w:val="20"/>
                <w:szCs w:val="20"/>
              </w:rPr>
              <w:t>pravne osobe koje temeljem posebnih propisa imaju obvezu održavanja javnih prometnica dužne su na bankinama i razdjelnom pojasu cesta uz šume razvrstane u I. i II. stupanj opasnosti od šumskog požara pokositi travu do početka lipnja, na području unutrašnjosti i u rujnu, a cestovni pojas očistiti od lakozapaljivih tvari, suhe trave i korova, suhog šiblja, granja i drveća, papira, otpadaka i drugih tvari koje bi mogle izazvati požar ili preko kojih bi se požar mogao širiti.</w:t>
            </w:r>
          </w:p>
          <w:p w:rsidR="00E8170D" w:rsidRPr="0014186A" w:rsidRDefault="00E8170D" w:rsidP="00E8170D">
            <w:pPr>
              <w:autoSpaceDE w:val="0"/>
              <w:autoSpaceDN w:val="0"/>
              <w:adjustRightInd w:val="0"/>
              <w:jc w:val="both"/>
              <w:rPr>
                <w:rFonts w:ascii="Arial" w:hAnsi="Arial" w:cs="Arial"/>
                <w:sz w:val="20"/>
                <w:szCs w:val="20"/>
              </w:rPr>
            </w:pPr>
            <w:r w:rsidRPr="0014186A">
              <w:rPr>
                <w:rFonts w:ascii="Arial" w:hAnsi="Arial" w:cs="Arial"/>
                <w:bCs/>
                <w:color w:val="FF0000"/>
                <w:sz w:val="20"/>
                <w:szCs w:val="20"/>
              </w:rPr>
              <w:t>Članak 21. Pravilnika</w:t>
            </w:r>
            <w:r w:rsidRPr="0014186A">
              <w:rPr>
                <w:rFonts w:ascii="Arial" w:hAnsi="Arial" w:cs="Arial"/>
                <w:b/>
                <w:bCs/>
                <w:sz w:val="20"/>
                <w:szCs w:val="20"/>
              </w:rPr>
              <w:t xml:space="preserve"> </w:t>
            </w:r>
            <w:r w:rsidRPr="0014186A">
              <w:rPr>
                <w:rFonts w:ascii="Arial" w:hAnsi="Arial" w:cs="Arial"/>
                <w:bCs/>
                <w:color w:val="FF0000"/>
                <w:sz w:val="20"/>
                <w:szCs w:val="20"/>
              </w:rPr>
              <w:t xml:space="preserve">propisuje da </w:t>
            </w:r>
            <w:r w:rsidRPr="0014186A">
              <w:rPr>
                <w:rFonts w:ascii="Arial" w:hAnsi="Arial" w:cs="Arial"/>
                <w:b/>
                <w:bCs/>
                <w:sz w:val="20"/>
                <w:szCs w:val="20"/>
              </w:rPr>
              <w:t xml:space="preserve"> </w:t>
            </w:r>
            <w:r w:rsidRPr="0014186A">
              <w:rPr>
                <w:rFonts w:ascii="Arial" w:hAnsi="Arial" w:cs="Arial"/>
                <w:sz w:val="20"/>
                <w:szCs w:val="20"/>
              </w:rPr>
              <w:t>pravne osobe koje na temelju posebnih propisa imaju obvezu održavanje željezničkih pruga, dužne su uz željezničke pruge koje prolaze kroz šumska područja I. i II. stupnja ugroženosti od šumskog požara, poduzimati mjere zaštite od požara tako da pružili pojas bude potpuno očišćen od lako zapaljivih tvari, suhe trave i korova, suhog šiblja, granja i drveća, papira, otpadaka I drugih tvari koje bi mogle izazvati požar ili preko kojih bi se on mogao širiti.</w:t>
            </w:r>
          </w:p>
          <w:p w:rsidR="00E8170D" w:rsidRPr="0014186A" w:rsidRDefault="00E8170D" w:rsidP="00E8170D">
            <w:pPr>
              <w:autoSpaceDE w:val="0"/>
              <w:autoSpaceDN w:val="0"/>
              <w:adjustRightInd w:val="0"/>
              <w:jc w:val="both"/>
              <w:rPr>
                <w:rFonts w:ascii="Arial" w:hAnsi="Arial" w:cs="Arial"/>
                <w:sz w:val="20"/>
                <w:szCs w:val="20"/>
              </w:rPr>
            </w:pPr>
            <w:r w:rsidRPr="0014186A">
              <w:rPr>
                <w:rFonts w:ascii="Arial" w:hAnsi="Arial" w:cs="Arial"/>
                <w:bCs/>
                <w:color w:val="FF0000"/>
                <w:sz w:val="20"/>
                <w:szCs w:val="20"/>
              </w:rPr>
              <w:t>Članak 22. Pravilnika</w:t>
            </w:r>
            <w:r w:rsidRPr="0014186A">
              <w:rPr>
                <w:rFonts w:ascii="Arial" w:hAnsi="Arial" w:cs="Arial"/>
                <w:b/>
                <w:bCs/>
                <w:sz w:val="20"/>
                <w:szCs w:val="20"/>
              </w:rPr>
              <w:t xml:space="preserve"> </w:t>
            </w:r>
            <w:r w:rsidRPr="0014186A">
              <w:rPr>
                <w:rFonts w:ascii="Arial" w:hAnsi="Arial" w:cs="Arial"/>
                <w:bCs/>
                <w:color w:val="FF0000"/>
                <w:sz w:val="20"/>
                <w:szCs w:val="20"/>
              </w:rPr>
              <w:t xml:space="preserve">propisuje da </w:t>
            </w:r>
            <w:r w:rsidRPr="0014186A">
              <w:rPr>
                <w:rFonts w:ascii="Arial" w:hAnsi="Arial" w:cs="Arial"/>
                <w:b/>
                <w:bCs/>
                <w:sz w:val="20"/>
                <w:szCs w:val="20"/>
              </w:rPr>
              <w:t xml:space="preserve"> </w:t>
            </w:r>
            <w:r w:rsidRPr="0014186A">
              <w:rPr>
                <w:rFonts w:ascii="Arial" w:hAnsi="Arial" w:cs="Arial"/>
                <w:sz w:val="20"/>
                <w:szCs w:val="20"/>
              </w:rPr>
              <w:t xml:space="preserve">pravne osobe koje na temelju posebnih propisa imaju obvezu održavanje elektroenergetskih objekata, dužne su u šumama svrstanim u I. i II. stupanj ugroženosti od šumskog požara, prilikom uspostave sigurnosnih visina i udaljenosti na trasama elektroenergetskih vodova, posječenu gorivu masu ukloniti s trase ili poslagati unutar postojeće širine trase tako da se maksimalno smanji požarno opterećenje. </w:t>
            </w:r>
          </w:p>
          <w:p w:rsidR="00E8170D" w:rsidRPr="0014186A" w:rsidRDefault="00E8170D" w:rsidP="00E8170D">
            <w:pPr>
              <w:autoSpaceDE w:val="0"/>
              <w:autoSpaceDN w:val="0"/>
              <w:adjustRightInd w:val="0"/>
              <w:jc w:val="both"/>
              <w:rPr>
                <w:rFonts w:ascii="Arial" w:hAnsi="Arial" w:cs="Arial"/>
                <w:sz w:val="20"/>
                <w:szCs w:val="20"/>
              </w:rPr>
            </w:pPr>
            <w:r w:rsidRPr="0014186A">
              <w:rPr>
                <w:rFonts w:ascii="Arial" w:hAnsi="Arial" w:cs="Arial"/>
                <w:sz w:val="20"/>
                <w:szCs w:val="20"/>
              </w:rPr>
              <w:t>Čišćenje i uspostava sigurnosnih visina i udaljenosti na trasama elektroenergetskih vodova provodi se sa propisima o tehničkim normativima za izgradnju nadzemnih elektroenergetskih vodova nazivnog napona od 1KV do 400KV.</w:t>
            </w:r>
          </w:p>
          <w:p w:rsidR="00E8170D" w:rsidRPr="0014186A" w:rsidRDefault="00E8170D" w:rsidP="00E8170D">
            <w:pPr>
              <w:autoSpaceDE w:val="0"/>
              <w:autoSpaceDN w:val="0"/>
              <w:adjustRightInd w:val="0"/>
              <w:jc w:val="both"/>
              <w:rPr>
                <w:rFonts w:ascii="Arial" w:hAnsi="Arial" w:cs="Arial"/>
                <w:sz w:val="20"/>
                <w:szCs w:val="20"/>
              </w:rPr>
            </w:pPr>
            <w:r w:rsidRPr="0014186A">
              <w:rPr>
                <w:rFonts w:ascii="Arial" w:hAnsi="Arial" w:cs="Arial"/>
                <w:color w:val="FF0000"/>
                <w:sz w:val="20"/>
                <w:szCs w:val="20"/>
              </w:rPr>
              <w:t xml:space="preserve">Članak 25. Pravilnika </w:t>
            </w:r>
            <w:r w:rsidRPr="0014186A">
              <w:rPr>
                <w:rFonts w:ascii="Arial" w:hAnsi="Arial" w:cs="Arial"/>
                <w:sz w:val="20"/>
                <w:szCs w:val="20"/>
              </w:rPr>
              <w:t>propisuje da je zabranjeno paljenje vatre u šumi, na udaljenosti manjoj od 150 m od ivice šume, te na trasama dalekovoda. Mogućnost i potreba iznimnog paljenja vatre uslijed spaljivanja korova, biljnih otpadaka i drugih materijala na udaljenosti većoj od 200 m od ivice šume može biti u vrijeme i na način kako to određuje odluka o spaljivanju korova i biljnog otpada koju donose županijska ministarstva.</w:t>
            </w:r>
          </w:p>
          <w:p w:rsidR="00E8170D" w:rsidRPr="00E8170D" w:rsidRDefault="00E8170D" w:rsidP="00E8170D">
            <w:pPr>
              <w:autoSpaceDE w:val="0"/>
              <w:autoSpaceDN w:val="0"/>
              <w:adjustRightInd w:val="0"/>
              <w:jc w:val="both"/>
              <w:rPr>
                <w:rFonts w:ascii="Arial" w:hAnsi="Arial" w:cs="Arial"/>
                <w:sz w:val="20"/>
                <w:szCs w:val="20"/>
              </w:rPr>
            </w:pPr>
            <w:r w:rsidRPr="0014186A">
              <w:rPr>
                <w:rFonts w:ascii="Arial" w:hAnsi="Arial" w:cs="Arial"/>
                <w:color w:val="FF0000"/>
                <w:sz w:val="20"/>
                <w:szCs w:val="20"/>
              </w:rPr>
              <w:t xml:space="preserve">Članak 28. Pravilnika </w:t>
            </w:r>
            <w:r w:rsidRPr="0014186A">
              <w:rPr>
                <w:rFonts w:ascii="Arial" w:hAnsi="Arial" w:cs="Arial"/>
                <w:sz w:val="20"/>
                <w:szCs w:val="20"/>
              </w:rPr>
              <w:t>propisuje da svaka osoba koja se nalazi u šumi ili u blizini šume, a primijeti neposrednu opasnost od nastanka šumskih požara ili šumski požar, dužna je tu opasnost ukloniti odnosno ugasiti požar, ako to može učiniti bez opasnosti za sebe ili druge osobe. Ako ta osoba to ne može učiniti, dužna je obavijestiti najbližu šumariju, policijsku upravu, vatrogasnu postrojbu, centar za motrenje i obavještavanje, ili drugo tijelo lokalne uprave .</w:t>
            </w:r>
          </w:p>
        </w:tc>
      </w:tr>
      <w:tr w:rsidR="00E8170D" w:rsidRPr="009570EF" w:rsidTr="00B24FD6">
        <w:trPr>
          <w:trHeight w:val="4055"/>
        </w:trPr>
        <w:tc>
          <w:tcPr>
            <w:tcW w:w="8613" w:type="dxa"/>
            <w:gridSpan w:val="2"/>
            <w:tcBorders>
              <w:top w:val="single" w:sz="18" w:space="0" w:color="548DD4" w:themeColor="text2" w:themeTint="99"/>
              <w:left w:val="single" w:sz="18" w:space="0" w:color="548DD4" w:themeColor="text2" w:themeTint="99"/>
              <w:bottom w:val="single" w:sz="18" w:space="0" w:color="548DD4" w:themeColor="text2" w:themeTint="99"/>
            </w:tcBorders>
            <w:shd w:val="clear" w:color="auto" w:fill="EAF1DD" w:themeFill="accent3" w:themeFillTint="33"/>
          </w:tcPr>
          <w:p w:rsidR="00E8170D" w:rsidRPr="009B2391" w:rsidRDefault="00E8170D" w:rsidP="009B2391">
            <w:pPr>
              <w:jc w:val="center"/>
              <w:rPr>
                <w:rFonts w:ascii="Arial" w:hAnsi="Arial" w:cs="Arial"/>
                <w:b/>
                <w:color w:val="FF0000"/>
              </w:rPr>
            </w:pPr>
            <w:r w:rsidRPr="009B2391">
              <w:rPr>
                <w:rFonts w:ascii="Arial" w:hAnsi="Arial" w:cs="Arial"/>
                <w:b/>
                <w:color w:val="FF0000"/>
              </w:rPr>
              <w:t>Korisnici šuma moraju stalno provoditi, preventivno – uzgojne mjere koje se prvenstveno odnose na:</w:t>
            </w:r>
          </w:p>
          <w:p w:rsidR="00E8170D" w:rsidRPr="00AF10B8" w:rsidRDefault="00E8170D" w:rsidP="00B24FD6">
            <w:pPr>
              <w:jc w:val="both"/>
              <w:rPr>
                <w:rFonts w:ascii="Arial" w:hAnsi="Arial" w:cs="Arial"/>
                <w:sz w:val="20"/>
                <w:szCs w:val="20"/>
              </w:rPr>
            </w:pPr>
            <w:r w:rsidRPr="00A12671">
              <w:rPr>
                <w:rFonts w:ascii="Arial" w:hAnsi="Arial" w:cs="Arial"/>
                <w:b/>
                <w:sz w:val="20"/>
                <w:szCs w:val="20"/>
              </w:rPr>
              <w:t>-</w:t>
            </w:r>
            <w:r w:rsidRPr="00AF10B8">
              <w:rPr>
                <w:rFonts w:ascii="Arial" w:hAnsi="Arial" w:cs="Arial"/>
                <w:sz w:val="20"/>
                <w:szCs w:val="20"/>
              </w:rPr>
              <w:t>prorjeđivanje i čišćenje šuma, izvlačenje suhih stabala i grana, sječu grmlja i niske makije i uklanjanje svih gorivih ostataka na šumskom tlu  tako da šume budu prohodne.</w:t>
            </w:r>
          </w:p>
          <w:p w:rsidR="00E8170D" w:rsidRPr="00AF10B8" w:rsidRDefault="00E8170D" w:rsidP="00B24FD6">
            <w:pPr>
              <w:jc w:val="both"/>
              <w:rPr>
                <w:rFonts w:ascii="Arial" w:hAnsi="Arial" w:cs="Arial"/>
                <w:sz w:val="20"/>
                <w:szCs w:val="20"/>
              </w:rPr>
            </w:pPr>
            <w:r w:rsidRPr="00A12671">
              <w:rPr>
                <w:rFonts w:ascii="Arial" w:hAnsi="Arial" w:cs="Arial"/>
                <w:b/>
                <w:sz w:val="20"/>
                <w:szCs w:val="20"/>
              </w:rPr>
              <w:t>-</w:t>
            </w:r>
            <w:r w:rsidRPr="00AF10B8">
              <w:rPr>
                <w:rFonts w:ascii="Arial" w:hAnsi="Arial" w:cs="Arial"/>
                <w:sz w:val="20"/>
                <w:szCs w:val="20"/>
              </w:rPr>
              <w:t>prosijecanje prosjeka i putova do svih nepristupačnih (državnih i privatnih šuma), tako da se omogući lak pristup vatrogasnim vozilima i ljudstvu do požarom ugroženog područja.</w:t>
            </w:r>
          </w:p>
          <w:p w:rsidR="00E8170D" w:rsidRPr="00AF10B8" w:rsidRDefault="00E8170D" w:rsidP="00B24FD6">
            <w:pPr>
              <w:jc w:val="both"/>
              <w:rPr>
                <w:rFonts w:ascii="Arial" w:hAnsi="Arial" w:cs="Arial"/>
                <w:sz w:val="20"/>
                <w:szCs w:val="20"/>
              </w:rPr>
            </w:pPr>
            <w:r w:rsidRPr="00A12671">
              <w:rPr>
                <w:rFonts w:ascii="Arial" w:hAnsi="Arial" w:cs="Arial"/>
                <w:b/>
                <w:sz w:val="20"/>
                <w:szCs w:val="20"/>
              </w:rPr>
              <w:t>-</w:t>
            </w:r>
            <w:r w:rsidRPr="00AF10B8">
              <w:rPr>
                <w:rFonts w:ascii="Arial" w:hAnsi="Arial" w:cs="Arial"/>
                <w:sz w:val="20"/>
                <w:szCs w:val="20"/>
              </w:rPr>
              <w:t>stavljanje putova u funkciju izletničkog, sportskog i seoskog turizma.</w:t>
            </w:r>
          </w:p>
          <w:p w:rsidR="00E8170D" w:rsidRPr="00AF10B8" w:rsidRDefault="00E8170D" w:rsidP="00B24FD6">
            <w:pPr>
              <w:jc w:val="both"/>
              <w:rPr>
                <w:rFonts w:ascii="Arial" w:hAnsi="Arial" w:cs="Arial"/>
                <w:sz w:val="20"/>
                <w:szCs w:val="20"/>
              </w:rPr>
            </w:pPr>
            <w:r w:rsidRPr="00A12671">
              <w:rPr>
                <w:rFonts w:ascii="Arial" w:hAnsi="Arial" w:cs="Arial"/>
                <w:b/>
                <w:sz w:val="20"/>
                <w:szCs w:val="20"/>
              </w:rPr>
              <w:t>-</w:t>
            </w:r>
            <w:r w:rsidRPr="00AF10B8">
              <w:rPr>
                <w:rFonts w:ascii="Arial" w:hAnsi="Arial" w:cs="Arial"/>
                <w:sz w:val="20"/>
                <w:szCs w:val="20"/>
              </w:rPr>
              <w:t>na već stvorenim požarištima, mora se u optimalnom roku sanirati i obnoviti biljni pokrov.</w:t>
            </w:r>
          </w:p>
          <w:p w:rsidR="00E8170D" w:rsidRPr="00AF10B8" w:rsidRDefault="00E8170D" w:rsidP="00B24FD6">
            <w:pPr>
              <w:jc w:val="both"/>
              <w:rPr>
                <w:rFonts w:ascii="Arial" w:hAnsi="Arial" w:cs="Arial"/>
                <w:sz w:val="20"/>
                <w:szCs w:val="20"/>
              </w:rPr>
            </w:pPr>
            <w:r w:rsidRPr="00A12671">
              <w:rPr>
                <w:rFonts w:ascii="Arial" w:hAnsi="Arial" w:cs="Arial"/>
                <w:b/>
                <w:sz w:val="20"/>
                <w:szCs w:val="20"/>
              </w:rPr>
              <w:t>-</w:t>
            </w:r>
            <w:r w:rsidRPr="00AF10B8">
              <w:rPr>
                <w:rFonts w:ascii="Arial" w:hAnsi="Arial" w:cs="Arial"/>
                <w:sz w:val="20"/>
                <w:szCs w:val="20"/>
              </w:rPr>
              <w:t>korisnici šuma prilikom planiranja i izvođenja šumsko uzgojnih radova, pošumljavanja, moraju planirati protiv požarne prosjeke  širine 10-15 m i voditi računa da se kod izbora vrste za sadnju</w:t>
            </w:r>
            <w:r w:rsidR="00391E51" w:rsidRPr="00785CC0">
              <w:rPr>
                <w:rFonts w:ascii="Arial" w:hAnsi="Arial" w:cs="Arial"/>
              </w:rPr>
              <w:t xml:space="preserve"> </w:t>
            </w:r>
            <w:r w:rsidR="00391E51" w:rsidRPr="00391E51">
              <w:rPr>
                <w:rFonts w:ascii="Arial" w:hAnsi="Arial" w:cs="Arial"/>
                <w:sz w:val="20"/>
                <w:szCs w:val="20"/>
              </w:rPr>
              <w:t>prednost daje vrstama otpornijim na požare (lišćari).</w:t>
            </w:r>
            <w:r w:rsidRPr="00AF10B8">
              <w:rPr>
                <w:rFonts w:ascii="Arial" w:hAnsi="Arial" w:cs="Arial"/>
                <w:sz w:val="20"/>
                <w:szCs w:val="20"/>
              </w:rPr>
              <w:t xml:space="preserve"> </w:t>
            </w:r>
          </w:p>
          <w:p w:rsidR="00E8170D" w:rsidRPr="00AF10B8" w:rsidRDefault="00E8170D" w:rsidP="00B24FD6">
            <w:pPr>
              <w:jc w:val="both"/>
              <w:rPr>
                <w:rFonts w:ascii="Arial" w:hAnsi="Arial" w:cs="Arial"/>
                <w:sz w:val="20"/>
                <w:szCs w:val="20"/>
              </w:rPr>
            </w:pPr>
            <w:r w:rsidRPr="00A12671">
              <w:rPr>
                <w:rFonts w:ascii="Arial" w:hAnsi="Arial" w:cs="Arial"/>
                <w:b/>
                <w:sz w:val="20"/>
                <w:szCs w:val="20"/>
              </w:rPr>
              <w:t>-</w:t>
            </w:r>
            <w:r w:rsidRPr="00AF10B8">
              <w:rPr>
                <w:rFonts w:ascii="Arial" w:hAnsi="Arial" w:cs="Arial"/>
                <w:sz w:val="20"/>
                <w:szCs w:val="20"/>
              </w:rPr>
              <w:t xml:space="preserve">korisnici šuma moraju imati svoje planove zaštite šuma od požara, stalno praviti analizu istih i dopunjavati ih. Po punktovima moraju imati opremu za gašenje požara (budake, ašove, sjekire, željezne grablje, </w:t>
            </w:r>
            <w:r w:rsidR="00A12671">
              <w:rPr>
                <w:rFonts w:ascii="Arial" w:hAnsi="Arial" w:cs="Arial"/>
                <w:sz w:val="20"/>
                <w:szCs w:val="20"/>
              </w:rPr>
              <w:t xml:space="preserve">naprtnjače </w:t>
            </w:r>
            <w:r w:rsidRPr="00AF10B8">
              <w:rPr>
                <w:rFonts w:ascii="Arial" w:hAnsi="Arial" w:cs="Arial"/>
                <w:sz w:val="20"/>
                <w:szCs w:val="20"/>
              </w:rPr>
              <w:t>i sl.), održavati ih i dopunjavati.</w:t>
            </w:r>
          </w:p>
          <w:p w:rsidR="00E8170D" w:rsidRPr="00AF10B8" w:rsidRDefault="00E8170D" w:rsidP="00B24FD6">
            <w:pPr>
              <w:jc w:val="both"/>
              <w:rPr>
                <w:rFonts w:ascii="Arial" w:hAnsi="Arial" w:cs="Arial"/>
                <w:sz w:val="20"/>
                <w:szCs w:val="20"/>
              </w:rPr>
            </w:pPr>
            <w:r w:rsidRPr="00A12671">
              <w:rPr>
                <w:rFonts w:ascii="Arial" w:hAnsi="Arial" w:cs="Arial"/>
                <w:b/>
                <w:sz w:val="20"/>
                <w:szCs w:val="20"/>
              </w:rPr>
              <w:t>-</w:t>
            </w:r>
            <w:r>
              <w:rPr>
                <w:rFonts w:ascii="Arial" w:hAnsi="Arial" w:cs="Arial"/>
                <w:sz w:val="20"/>
                <w:szCs w:val="20"/>
              </w:rPr>
              <w:t xml:space="preserve">bunari </w:t>
            </w:r>
            <w:r w:rsidRPr="00AF10B8">
              <w:rPr>
                <w:rFonts w:ascii="Arial" w:hAnsi="Arial" w:cs="Arial"/>
                <w:sz w:val="20"/>
                <w:szCs w:val="20"/>
              </w:rPr>
              <w:t xml:space="preserve"> (Prekača, Gusar, Pločno, </w:t>
            </w:r>
            <w:r>
              <w:rPr>
                <w:rFonts w:ascii="Arial" w:hAnsi="Arial" w:cs="Arial"/>
                <w:sz w:val="20"/>
                <w:szCs w:val="20"/>
              </w:rPr>
              <w:t>Kruševac i sl.)</w:t>
            </w:r>
            <w:r w:rsidRPr="00AF10B8">
              <w:rPr>
                <w:rFonts w:ascii="Arial" w:hAnsi="Arial" w:cs="Arial"/>
                <w:sz w:val="20"/>
                <w:szCs w:val="20"/>
              </w:rPr>
              <w:t xml:space="preserve"> moraju se čistiti i održavati</w:t>
            </w:r>
            <w:r>
              <w:rPr>
                <w:rFonts w:ascii="Arial" w:hAnsi="Arial" w:cs="Arial"/>
                <w:sz w:val="20"/>
                <w:szCs w:val="20"/>
              </w:rPr>
              <w:t>.</w:t>
            </w:r>
          </w:p>
          <w:p w:rsidR="00E8170D" w:rsidRPr="00AF10B8" w:rsidRDefault="00E8170D" w:rsidP="00B24FD6">
            <w:pPr>
              <w:jc w:val="both"/>
              <w:rPr>
                <w:rFonts w:ascii="Arial" w:hAnsi="Arial" w:cs="Arial"/>
                <w:sz w:val="20"/>
                <w:szCs w:val="20"/>
              </w:rPr>
            </w:pPr>
            <w:r w:rsidRPr="00A12671">
              <w:rPr>
                <w:rFonts w:ascii="Arial" w:hAnsi="Arial" w:cs="Arial"/>
                <w:b/>
                <w:sz w:val="20"/>
                <w:szCs w:val="20"/>
              </w:rPr>
              <w:t>-</w:t>
            </w:r>
            <w:r w:rsidRPr="00AF10B8">
              <w:rPr>
                <w:rFonts w:ascii="Arial" w:hAnsi="Arial" w:cs="Arial"/>
                <w:sz w:val="20"/>
                <w:szCs w:val="20"/>
              </w:rPr>
              <w:t>korisnici šuma moraju stalno educirati svoj kadar, imati opremljene interventne jedinice i stalno biti u kontaktu i koordinirati rad sa svim subjektima na području Grada Mostara</w:t>
            </w:r>
            <w:r>
              <w:rPr>
                <w:rFonts w:ascii="Arial" w:hAnsi="Arial" w:cs="Arial"/>
                <w:sz w:val="20"/>
                <w:szCs w:val="20"/>
              </w:rPr>
              <w:t xml:space="preserve">. </w:t>
            </w:r>
          </w:p>
        </w:tc>
        <w:tc>
          <w:tcPr>
            <w:tcW w:w="6946" w:type="dxa"/>
            <w:vMerge/>
            <w:tcBorders>
              <w:left w:val="single" w:sz="12" w:space="0" w:color="548DD4" w:themeColor="text2" w:themeTint="99"/>
              <w:bottom w:val="single" w:sz="18" w:space="0" w:color="548DD4" w:themeColor="text2" w:themeTint="99"/>
              <w:right w:val="single" w:sz="18" w:space="0" w:color="548DD4" w:themeColor="text2" w:themeTint="99"/>
            </w:tcBorders>
            <w:shd w:val="clear" w:color="auto" w:fill="D6E3BC" w:themeFill="accent3" w:themeFillTint="66"/>
          </w:tcPr>
          <w:p w:rsidR="00E8170D" w:rsidRPr="009570EF" w:rsidRDefault="00E8170D" w:rsidP="00E8170D">
            <w:pPr>
              <w:tabs>
                <w:tab w:val="center" w:pos="4320"/>
                <w:tab w:val="right" w:pos="8640"/>
              </w:tabs>
              <w:textAlignment w:val="baseline"/>
              <w:rPr>
                <w:rFonts w:ascii="Arial" w:hAnsi="Arial" w:cs="Arial"/>
                <w:snapToGrid w:val="0"/>
                <w:color w:val="000000"/>
                <w:w w:val="0"/>
                <w:sz w:val="18"/>
                <w:szCs w:val="18"/>
                <w:u w:color="000000"/>
                <w:bdr w:val="none" w:sz="0" w:space="0" w:color="000000"/>
                <w:shd w:val="clear" w:color="000000" w:fill="000000"/>
                <w:lang w:eastAsia="en-US"/>
              </w:rPr>
            </w:pPr>
          </w:p>
        </w:tc>
      </w:tr>
      <w:tr w:rsidR="00E8170D" w:rsidRPr="009570EF" w:rsidTr="00A12671">
        <w:trPr>
          <w:trHeight w:val="125"/>
        </w:trPr>
        <w:tc>
          <w:tcPr>
            <w:tcW w:w="15559" w:type="dxa"/>
            <w:gridSpan w:val="3"/>
            <w:tcBorders>
              <w:left w:val="single" w:sz="18" w:space="0" w:color="548DD4" w:themeColor="text2" w:themeTint="99"/>
              <w:right w:val="single" w:sz="12" w:space="0" w:color="548DD4" w:themeColor="text2" w:themeTint="99"/>
            </w:tcBorders>
            <w:shd w:val="clear" w:color="auto" w:fill="E5B8B7" w:themeFill="accent2" w:themeFillTint="66"/>
          </w:tcPr>
          <w:p w:rsidR="00E8170D" w:rsidRPr="00391E51" w:rsidRDefault="00E8170D" w:rsidP="00E8170D">
            <w:pPr>
              <w:jc w:val="center"/>
              <w:rPr>
                <w:rFonts w:ascii="Arial" w:hAnsi="Arial" w:cs="Arial"/>
                <w:noProof/>
              </w:rPr>
            </w:pPr>
            <w:r w:rsidRPr="00391E51">
              <w:rPr>
                <w:rFonts w:ascii="Arial" w:hAnsi="Arial" w:cs="Arial"/>
                <w:b/>
                <w:noProof/>
                <w:color w:val="FF0000"/>
              </w:rPr>
              <w:t>121</w:t>
            </w:r>
            <w:r w:rsidRPr="00391E51">
              <w:rPr>
                <w:rFonts w:ascii="Arial" w:hAnsi="Arial" w:cs="Arial"/>
                <w:noProof/>
              </w:rPr>
              <w:t>-</w:t>
            </w:r>
            <w:r w:rsidRPr="00391E51">
              <w:rPr>
                <w:rFonts w:ascii="Arial" w:hAnsi="Arial" w:cs="Arial"/>
                <w:b/>
                <w:noProof/>
              </w:rPr>
              <w:t>operativni centar Civilne zaštite</w:t>
            </w:r>
            <w:r w:rsidRPr="00391E51">
              <w:rPr>
                <w:rFonts w:ascii="Arial" w:hAnsi="Arial" w:cs="Arial"/>
                <w:noProof/>
              </w:rPr>
              <w:t xml:space="preserve">;     </w:t>
            </w:r>
            <w:r w:rsidRPr="00391E51">
              <w:rPr>
                <w:rFonts w:ascii="Arial" w:hAnsi="Arial" w:cs="Arial"/>
                <w:b/>
                <w:noProof/>
                <w:color w:val="FF0000"/>
              </w:rPr>
              <w:t>122</w:t>
            </w:r>
            <w:r w:rsidRPr="00391E51">
              <w:rPr>
                <w:rFonts w:ascii="Arial" w:hAnsi="Arial" w:cs="Arial"/>
                <w:b/>
                <w:noProof/>
              </w:rPr>
              <w:t xml:space="preserve"> </w:t>
            </w:r>
            <w:r w:rsidRPr="00391E51">
              <w:rPr>
                <w:rFonts w:ascii="Arial" w:hAnsi="Arial" w:cs="Arial"/>
                <w:noProof/>
              </w:rPr>
              <w:t>–</w:t>
            </w:r>
            <w:r w:rsidRPr="00391E51">
              <w:rPr>
                <w:rFonts w:ascii="Arial" w:hAnsi="Arial" w:cs="Arial"/>
                <w:b/>
                <w:noProof/>
              </w:rPr>
              <w:t xml:space="preserve">policija;     </w:t>
            </w:r>
            <w:r w:rsidRPr="00391E51">
              <w:rPr>
                <w:rFonts w:ascii="Arial" w:hAnsi="Arial" w:cs="Arial"/>
                <w:b/>
                <w:color w:val="FF0000"/>
              </w:rPr>
              <w:t xml:space="preserve">123- </w:t>
            </w:r>
            <w:r w:rsidRPr="00391E51">
              <w:rPr>
                <w:rFonts w:ascii="Arial" w:hAnsi="Arial" w:cs="Arial"/>
                <w:b/>
              </w:rPr>
              <w:t>Profesionalna vatrogasna postrojba;</w:t>
            </w:r>
            <w:r w:rsidRPr="00391E51">
              <w:rPr>
                <w:rFonts w:ascii="Arial" w:hAnsi="Arial" w:cs="Arial"/>
                <w:b/>
                <w:color w:val="FF0000"/>
              </w:rPr>
              <w:t xml:space="preserve">       124- </w:t>
            </w:r>
            <w:r w:rsidRPr="00391E51">
              <w:rPr>
                <w:rFonts w:ascii="Arial" w:hAnsi="Arial" w:cs="Arial"/>
                <w:b/>
              </w:rPr>
              <w:t>Hitna medicinska pomoć</w:t>
            </w:r>
          </w:p>
        </w:tc>
      </w:tr>
      <w:tr w:rsidR="00E8170D" w:rsidRPr="000C1B2E" w:rsidTr="00A12671">
        <w:trPr>
          <w:trHeight w:val="314"/>
        </w:trPr>
        <w:tc>
          <w:tcPr>
            <w:tcW w:w="15559" w:type="dxa"/>
            <w:gridSpan w:val="3"/>
            <w:tcBorders>
              <w:top w:val="single" w:sz="18" w:space="0" w:color="548DD4" w:themeColor="text2" w:themeTint="99"/>
              <w:left w:val="single" w:sz="18" w:space="0" w:color="548DD4" w:themeColor="text2" w:themeTint="99"/>
              <w:right w:val="single" w:sz="12" w:space="0" w:color="548DD4" w:themeColor="text2" w:themeTint="99"/>
            </w:tcBorders>
            <w:shd w:val="clear" w:color="auto" w:fill="EAF1DD" w:themeFill="accent3" w:themeFillTint="33"/>
          </w:tcPr>
          <w:p w:rsidR="00E8170D" w:rsidRPr="00391E51" w:rsidRDefault="00E8170D" w:rsidP="00E8170D">
            <w:pPr>
              <w:autoSpaceDE w:val="0"/>
              <w:autoSpaceDN w:val="0"/>
              <w:adjustRightInd w:val="0"/>
              <w:jc w:val="center"/>
              <w:rPr>
                <w:rFonts w:ascii="Arial" w:hAnsi="Arial" w:cs="Arial"/>
                <w:b/>
              </w:rPr>
            </w:pPr>
            <w:r w:rsidRPr="00391E51">
              <w:rPr>
                <w:rFonts w:ascii="Arial" w:hAnsi="Arial" w:cs="Arial"/>
              </w:rPr>
              <w:t xml:space="preserve">Posebna pozornost je stavljena na proljetno-ljetnu požarnu sezonu,koja traje </w:t>
            </w:r>
            <w:r w:rsidRPr="00391E51">
              <w:rPr>
                <w:rFonts w:ascii="Arial" w:hAnsi="Arial" w:cs="Arial"/>
                <w:b/>
              </w:rPr>
              <w:t xml:space="preserve">od 01.04. do 01.10. </w:t>
            </w:r>
            <w:r w:rsidRPr="00391E51">
              <w:rPr>
                <w:rFonts w:ascii="Arial" w:hAnsi="Arial" w:cs="Arial"/>
              </w:rPr>
              <w:t>tekuće godine</w:t>
            </w:r>
            <w:r w:rsidRPr="00391E51">
              <w:rPr>
                <w:rFonts w:ascii="Arial" w:hAnsi="Arial" w:cs="Arial"/>
                <w:b/>
              </w:rPr>
              <w:t>.</w:t>
            </w:r>
          </w:p>
        </w:tc>
      </w:tr>
    </w:tbl>
    <w:p w:rsidR="00DC6F1E" w:rsidRDefault="00DC6F1E" w:rsidP="0094629F">
      <w:pPr>
        <w:rPr>
          <w:rFonts w:ascii="Verdana" w:hAnsi="Verdana" w:cs="Arial"/>
          <w:b/>
          <w:sz w:val="20"/>
          <w:szCs w:val="20"/>
          <w:lang w:eastAsia="en-US"/>
        </w:rPr>
      </w:pPr>
    </w:p>
    <w:p w:rsidR="00AA2DCB" w:rsidRDefault="00AA2DCB" w:rsidP="0094629F">
      <w:bookmarkStart w:id="0" w:name="_GoBack"/>
      <w:bookmarkEnd w:id="0"/>
    </w:p>
    <w:sectPr w:rsidR="00AA2DCB" w:rsidSect="00AC422E">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AA7" w:rsidRDefault="000A1AA7" w:rsidP="00FA5891">
      <w:r>
        <w:separator/>
      </w:r>
    </w:p>
  </w:endnote>
  <w:endnote w:type="continuationSeparator" w:id="0">
    <w:p w:rsidR="000A1AA7" w:rsidRDefault="000A1AA7" w:rsidP="00FA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AA7" w:rsidRDefault="000A1AA7" w:rsidP="00FA5891">
      <w:r>
        <w:separator/>
      </w:r>
    </w:p>
  </w:footnote>
  <w:footnote w:type="continuationSeparator" w:id="0">
    <w:p w:rsidR="000A1AA7" w:rsidRDefault="000A1AA7" w:rsidP="00FA58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94DDB"/>
    <w:multiLevelType w:val="hybridMultilevel"/>
    <w:tmpl w:val="FC701F7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D52B9A"/>
    <w:multiLevelType w:val="multilevel"/>
    <w:tmpl w:val="D514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7B781F"/>
    <w:multiLevelType w:val="hybridMultilevel"/>
    <w:tmpl w:val="B84E28EE"/>
    <w:lvl w:ilvl="0" w:tplc="041A0001">
      <w:start w:val="1"/>
      <w:numFmt w:val="bullet"/>
      <w:lvlText w:val=""/>
      <w:lvlJc w:val="left"/>
      <w:pPr>
        <w:ind w:left="1080" w:hanging="72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08E3592"/>
    <w:multiLevelType w:val="multilevel"/>
    <w:tmpl w:val="D5B8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462073"/>
    <w:multiLevelType w:val="multilevel"/>
    <w:tmpl w:val="2C8C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793"/>
    <w:rsid w:val="00002014"/>
    <w:rsid w:val="00015A41"/>
    <w:rsid w:val="00025A24"/>
    <w:rsid w:val="000A1AA7"/>
    <w:rsid w:val="000C1B2E"/>
    <w:rsid w:val="000E71AD"/>
    <w:rsid w:val="0014186A"/>
    <w:rsid w:val="00160893"/>
    <w:rsid w:val="00202353"/>
    <w:rsid w:val="002231C4"/>
    <w:rsid w:val="00294CD5"/>
    <w:rsid w:val="002E200D"/>
    <w:rsid w:val="002E771A"/>
    <w:rsid w:val="003047FA"/>
    <w:rsid w:val="0030657D"/>
    <w:rsid w:val="0034025B"/>
    <w:rsid w:val="00381C11"/>
    <w:rsid w:val="00391E51"/>
    <w:rsid w:val="00396502"/>
    <w:rsid w:val="003A093F"/>
    <w:rsid w:val="003B2355"/>
    <w:rsid w:val="003D7F43"/>
    <w:rsid w:val="003F73A3"/>
    <w:rsid w:val="004071FE"/>
    <w:rsid w:val="00433B84"/>
    <w:rsid w:val="0044727F"/>
    <w:rsid w:val="00450785"/>
    <w:rsid w:val="004B152E"/>
    <w:rsid w:val="004E6BAB"/>
    <w:rsid w:val="00503E79"/>
    <w:rsid w:val="00522EBD"/>
    <w:rsid w:val="0053700D"/>
    <w:rsid w:val="00546887"/>
    <w:rsid w:val="00576360"/>
    <w:rsid w:val="005D0805"/>
    <w:rsid w:val="006A770B"/>
    <w:rsid w:val="006B548E"/>
    <w:rsid w:val="006D34CD"/>
    <w:rsid w:val="006D4524"/>
    <w:rsid w:val="00736DC7"/>
    <w:rsid w:val="00755805"/>
    <w:rsid w:val="007F38E1"/>
    <w:rsid w:val="0080101C"/>
    <w:rsid w:val="00803D79"/>
    <w:rsid w:val="008211BF"/>
    <w:rsid w:val="00826793"/>
    <w:rsid w:val="00826C91"/>
    <w:rsid w:val="008351DA"/>
    <w:rsid w:val="00842198"/>
    <w:rsid w:val="008601D8"/>
    <w:rsid w:val="008A7EE0"/>
    <w:rsid w:val="008E3456"/>
    <w:rsid w:val="009123DF"/>
    <w:rsid w:val="0094629F"/>
    <w:rsid w:val="00977922"/>
    <w:rsid w:val="009B2391"/>
    <w:rsid w:val="009D6B3B"/>
    <w:rsid w:val="00A12671"/>
    <w:rsid w:val="00A17034"/>
    <w:rsid w:val="00A219FC"/>
    <w:rsid w:val="00A23AE4"/>
    <w:rsid w:val="00A72BE9"/>
    <w:rsid w:val="00A825F7"/>
    <w:rsid w:val="00AA2DCB"/>
    <w:rsid w:val="00AC422E"/>
    <w:rsid w:val="00AF10B8"/>
    <w:rsid w:val="00B24FD6"/>
    <w:rsid w:val="00B25EDC"/>
    <w:rsid w:val="00B36C26"/>
    <w:rsid w:val="00B90783"/>
    <w:rsid w:val="00BD61B6"/>
    <w:rsid w:val="00C73A99"/>
    <w:rsid w:val="00D1052A"/>
    <w:rsid w:val="00D37C3D"/>
    <w:rsid w:val="00D52CFC"/>
    <w:rsid w:val="00D7443D"/>
    <w:rsid w:val="00D805DD"/>
    <w:rsid w:val="00DC6F1E"/>
    <w:rsid w:val="00E056A1"/>
    <w:rsid w:val="00E117CF"/>
    <w:rsid w:val="00E33687"/>
    <w:rsid w:val="00E51E4F"/>
    <w:rsid w:val="00E8170D"/>
    <w:rsid w:val="00EF0AC4"/>
    <w:rsid w:val="00F12E3C"/>
    <w:rsid w:val="00F1447D"/>
    <w:rsid w:val="00F556AD"/>
    <w:rsid w:val="00F56D10"/>
    <w:rsid w:val="00F6092E"/>
    <w:rsid w:val="00F671D8"/>
    <w:rsid w:val="00FA5891"/>
    <w:rsid w:val="00FC2AC8"/>
    <w:rsid w:val="00FD2E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41634-8DFA-44DD-A731-C3F9A00D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793"/>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link w:val="Naslov1Char"/>
    <w:uiPriority w:val="9"/>
    <w:qFormat/>
    <w:rsid w:val="003A093F"/>
    <w:pPr>
      <w:spacing w:before="100" w:beforeAutospacing="1" w:after="100" w:afterAutospacing="1"/>
      <w:outlineLvl w:val="0"/>
    </w:pPr>
    <w:rPr>
      <w:b/>
      <w:bCs/>
      <w:kern w:val="36"/>
      <w:sz w:val="48"/>
      <w:szCs w:val="48"/>
    </w:rPr>
  </w:style>
  <w:style w:type="paragraph" w:styleId="Naslov2">
    <w:name w:val="heading 2"/>
    <w:basedOn w:val="Normal"/>
    <w:next w:val="Normal"/>
    <w:link w:val="Naslov2Char"/>
    <w:uiPriority w:val="9"/>
    <w:unhideWhenUsed/>
    <w:qFormat/>
    <w:rsid w:val="0054688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2">
    <w:name w:val="Table Grid2"/>
    <w:basedOn w:val="Obinatablica"/>
    <w:uiPriority w:val="59"/>
    <w:rsid w:val="00826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826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826793"/>
    <w:rPr>
      <w:rFonts w:ascii="Tahoma" w:hAnsi="Tahoma" w:cs="Tahoma"/>
      <w:sz w:val="16"/>
      <w:szCs w:val="16"/>
    </w:rPr>
  </w:style>
  <w:style w:type="character" w:customStyle="1" w:styleId="TekstbaloniaChar">
    <w:name w:val="Tekst balončića Char"/>
    <w:basedOn w:val="Zadanifontodlomka"/>
    <w:link w:val="Tekstbalonia"/>
    <w:uiPriority w:val="99"/>
    <w:semiHidden/>
    <w:rsid w:val="00826793"/>
    <w:rPr>
      <w:rFonts w:ascii="Tahoma" w:eastAsia="Times New Roman" w:hAnsi="Tahoma" w:cs="Tahoma"/>
      <w:sz w:val="16"/>
      <w:szCs w:val="16"/>
      <w:lang w:eastAsia="hr-HR"/>
    </w:rPr>
  </w:style>
  <w:style w:type="paragraph" w:styleId="Odlomakpopisa">
    <w:name w:val="List Paragraph"/>
    <w:basedOn w:val="Normal"/>
    <w:uiPriority w:val="34"/>
    <w:qFormat/>
    <w:rsid w:val="004B152E"/>
    <w:pPr>
      <w:ind w:left="720"/>
      <w:contextualSpacing/>
    </w:pPr>
  </w:style>
  <w:style w:type="paragraph" w:customStyle="1" w:styleId="Default">
    <w:name w:val="Default"/>
    <w:rsid w:val="008A7EE0"/>
    <w:pPr>
      <w:autoSpaceDE w:val="0"/>
      <w:autoSpaceDN w:val="0"/>
      <w:adjustRightInd w:val="0"/>
      <w:spacing w:after="0" w:line="240" w:lineRule="auto"/>
    </w:pPr>
    <w:rPr>
      <w:rFonts w:ascii="Arial" w:hAnsi="Arial" w:cs="Arial"/>
      <w:color w:val="000000"/>
      <w:sz w:val="24"/>
      <w:szCs w:val="24"/>
    </w:rPr>
  </w:style>
  <w:style w:type="paragraph" w:styleId="Zaglavlje">
    <w:name w:val="header"/>
    <w:basedOn w:val="Normal"/>
    <w:link w:val="ZaglavljeChar"/>
    <w:uiPriority w:val="99"/>
    <w:semiHidden/>
    <w:unhideWhenUsed/>
    <w:rsid w:val="00FA5891"/>
    <w:pPr>
      <w:tabs>
        <w:tab w:val="center" w:pos="4536"/>
        <w:tab w:val="right" w:pos="9072"/>
      </w:tabs>
    </w:pPr>
  </w:style>
  <w:style w:type="character" w:customStyle="1" w:styleId="ZaglavljeChar">
    <w:name w:val="Zaglavlje Char"/>
    <w:basedOn w:val="Zadanifontodlomka"/>
    <w:link w:val="Zaglavlje"/>
    <w:uiPriority w:val="99"/>
    <w:semiHidden/>
    <w:rsid w:val="00FA5891"/>
    <w:rPr>
      <w:rFonts w:ascii="Times New Roman" w:eastAsia="Times New Roman" w:hAnsi="Times New Roman" w:cs="Times New Roman"/>
      <w:sz w:val="24"/>
      <w:szCs w:val="24"/>
      <w:lang w:eastAsia="hr-HR"/>
    </w:rPr>
  </w:style>
  <w:style w:type="paragraph" w:styleId="Podnoje">
    <w:name w:val="footer"/>
    <w:basedOn w:val="Normal"/>
    <w:link w:val="PodnojeChar"/>
    <w:uiPriority w:val="99"/>
    <w:semiHidden/>
    <w:unhideWhenUsed/>
    <w:rsid w:val="00FA5891"/>
    <w:pPr>
      <w:tabs>
        <w:tab w:val="center" w:pos="4536"/>
        <w:tab w:val="right" w:pos="9072"/>
      </w:tabs>
    </w:pPr>
  </w:style>
  <w:style w:type="character" w:customStyle="1" w:styleId="PodnojeChar">
    <w:name w:val="Podnožje Char"/>
    <w:basedOn w:val="Zadanifontodlomka"/>
    <w:link w:val="Podnoje"/>
    <w:uiPriority w:val="99"/>
    <w:semiHidden/>
    <w:rsid w:val="00FA5891"/>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3A093F"/>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rsid w:val="00546887"/>
    <w:rPr>
      <w:rFonts w:asciiTheme="majorHAnsi" w:eastAsiaTheme="majorEastAsia" w:hAnsiTheme="majorHAnsi" w:cstheme="majorBidi"/>
      <w:b/>
      <w:bCs/>
      <w:color w:val="4F81BD" w:themeColor="accent1"/>
      <w:sz w:val="26"/>
      <w:szCs w:val="26"/>
      <w:lang w:eastAsia="hr-HR"/>
    </w:rPr>
  </w:style>
  <w:style w:type="character" w:styleId="Naglaeno">
    <w:name w:val="Strong"/>
    <w:basedOn w:val="Zadanifontodlomka"/>
    <w:uiPriority w:val="22"/>
    <w:qFormat/>
    <w:rsid w:val="00546887"/>
    <w:rPr>
      <w:b/>
      <w:bCs/>
    </w:rPr>
  </w:style>
  <w:style w:type="paragraph" w:styleId="StandardWeb">
    <w:name w:val="Normal (Web)"/>
    <w:basedOn w:val="Normal"/>
    <w:uiPriority w:val="99"/>
    <w:unhideWhenUsed/>
    <w:rsid w:val="00546887"/>
    <w:pPr>
      <w:spacing w:before="100" w:beforeAutospacing="1" w:after="100" w:afterAutospacing="1"/>
    </w:pPr>
  </w:style>
  <w:style w:type="character" w:styleId="Hiperveza">
    <w:name w:val="Hyperlink"/>
    <w:basedOn w:val="Zadanifontodlomka"/>
    <w:uiPriority w:val="99"/>
    <w:semiHidden/>
    <w:unhideWhenUsed/>
    <w:rsid w:val="005468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87066">
      <w:bodyDiv w:val="1"/>
      <w:marLeft w:val="0"/>
      <w:marRight w:val="0"/>
      <w:marTop w:val="0"/>
      <w:marBottom w:val="0"/>
      <w:divBdr>
        <w:top w:val="none" w:sz="0" w:space="0" w:color="auto"/>
        <w:left w:val="none" w:sz="0" w:space="0" w:color="auto"/>
        <w:bottom w:val="none" w:sz="0" w:space="0" w:color="auto"/>
        <w:right w:val="none" w:sz="0" w:space="0" w:color="auto"/>
      </w:divBdr>
    </w:div>
    <w:div w:id="716392838">
      <w:bodyDiv w:val="1"/>
      <w:marLeft w:val="0"/>
      <w:marRight w:val="0"/>
      <w:marTop w:val="0"/>
      <w:marBottom w:val="0"/>
      <w:divBdr>
        <w:top w:val="none" w:sz="0" w:space="0" w:color="auto"/>
        <w:left w:val="none" w:sz="0" w:space="0" w:color="auto"/>
        <w:bottom w:val="none" w:sz="0" w:space="0" w:color="auto"/>
        <w:right w:val="none" w:sz="0" w:space="0" w:color="auto"/>
      </w:divBdr>
    </w:div>
    <w:div w:id="887112889">
      <w:bodyDiv w:val="1"/>
      <w:marLeft w:val="0"/>
      <w:marRight w:val="0"/>
      <w:marTop w:val="0"/>
      <w:marBottom w:val="0"/>
      <w:divBdr>
        <w:top w:val="none" w:sz="0" w:space="0" w:color="auto"/>
        <w:left w:val="none" w:sz="0" w:space="0" w:color="auto"/>
        <w:bottom w:val="none" w:sz="0" w:space="0" w:color="auto"/>
        <w:right w:val="none" w:sz="0" w:space="0" w:color="auto"/>
      </w:divBdr>
    </w:div>
    <w:div w:id="1001008756">
      <w:bodyDiv w:val="1"/>
      <w:marLeft w:val="0"/>
      <w:marRight w:val="0"/>
      <w:marTop w:val="0"/>
      <w:marBottom w:val="0"/>
      <w:divBdr>
        <w:top w:val="none" w:sz="0" w:space="0" w:color="auto"/>
        <w:left w:val="none" w:sz="0" w:space="0" w:color="auto"/>
        <w:bottom w:val="none" w:sz="0" w:space="0" w:color="auto"/>
        <w:right w:val="none" w:sz="0" w:space="0" w:color="auto"/>
      </w:divBdr>
    </w:div>
    <w:div w:id="1583180707">
      <w:bodyDiv w:val="1"/>
      <w:marLeft w:val="0"/>
      <w:marRight w:val="0"/>
      <w:marTop w:val="0"/>
      <w:marBottom w:val="0"/>
      <w:divBdr>
        <w:top w:val="none" w:sz="0" w:space="0" w:color="auto"/>
        <w:left w:val="none" w:sz="0" w:space="0" w:color="auto"/>
        <w:bottom w:val="none" w:sz="0" w:space="0" w:color="auto"/>
        <w:right w:val="none" w:sz="0" w:space="0" w:color="auto"/>
      </w:divBdr>
    </w:div>
    <w:div w:id="213740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D9009F-B87F-439D-A268-9789B5776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4493</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Damir Suton</cp:lastModifiedBy>
  <cp:revision>2</cp:revision>
  <cp:lastPrinted>2023-03-23T10:48:00Z</cp:lastPrinted>
  <dcterms:created xsi:type="dcterms:W3CDTF">2023-03-24T07:26:00Z</dcterms:created>
  <dcterms:modified xsi:type="dcterms:W3CDTF">2023-03-24T07:26:00Z</dcterms:modified>
</cp:coreProperties>
</file>